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40"/>
      </w:pPr>
      <w:r>
        <w:rPr>
          <w:b/>
          <w:bCs/>
          <w:color w:val="0E1B2C"/>
          <w:sz w:val="44"/>
          <w:szCs w:val="44"/>
        </w:rPr>
        <w:t xml:space="preserve">VARDA FORMS</w:t>
      </w:r>
    </w:p>
    <w:p>
      <w:pPr>
        <w:pBdr>
          <w:bottom w:val="single" w:color="B8760B" w:sz="12"/>
        </w:pBdr>
        <w:spacing w:after="30"/>
      </w:pPr>
      <w:r>
        <w:rPr>
          <w:color w:val="0E1B2C"/>
          <w:sz w:val="30"/>
          <w:szCs w:val="30"/>
        </w:rPr>
        <w:t xml:space="preserve">Security Controls &amp; Compliance Mapping</w:t>
      </w:r>
    </w:p>
    <w:p>
      <w:pPr>
        <w:spacing w:after="40" w:before="0"/>
      </w:pPr>
      <w:r>
        <w:rPr>
          <w:i/>
          <w:iCs/>
          <w:color w:val="5B6472"/>
          <w:sz w:val="20"/>
          <w:szCs w:val="20"/>
        </w:rPr>
        <w:t xml:space="preserve">Vendor self-assessment for security and procurement review</w:t>
      </w:r>
    </w:p>
    <w:p>
      <w:pPr>
        <w:spacing w:after="200" w:before="0"/>
      </w:pPr>
      <w:r>
        <w:rPr>
          <w:color w:val="5B6472"/>
          <w:sz w:val="18"/>
          <w:szCs w:val="18"/>
        </w:rPr>
        <w:t xml:space="preserve">Version 1.0  ·  August 2026  ·  Varda Forms Inc.  ·  Classification: Public</w:t>
      </w:r>
    </w:p>
    <w:tbl>
      <w:tblPr>
        <w:tblW w:type="dxa" w:w="10080"/>
        <w:tblBorders>
          <w:top w:val="single" w:color="C9D2DB" w:sz="2"/>
          <w:left w:val="single" w:color="C9D2DB" w:sz="2"/>
          <w:bottom w:val="single" w:color="C9D2DB" w:sz="2"/>
          <w:right w:val="single" w:color="C9D2DB" w:sz="2"/>
          <w:insideH w:val="single" w:color="C9D2DB" w:sz="2"/>
          <w:insideV w:val="single" w:color="C9D2DB" w:sz="2"/>
        </w:tblBorders>
      </w:tblPr>
      <w:tblGrid>
        <w:gridCol w:w="10080"/>
      </w:tblGrid>
      <w:tr>
        <w:trPr>
          <w:tblHeader/>
        </w:trPr>
        <w:tc>
          <w:tcPr>
            <w:tcW w:type="dxa" w:w="10080"/>
            <w:shd w:fill="E8EDF2" w:color="auto" w:val="clear"/>
            <w:tcMar>
              <w:top w:type="dxa" w:w="60"/>
              <w:left w:type="dxa" w:w="90"/>
              <w:bottom w:type="dxa" w:w="60"/>
              <w:right w:type="dxa" w:w="90"/>
            </w:tcMar>
          </w:tcPr>
          <w:p>
            <w:pPr>
              <w:spacing w:after="0"/>
            </w:pPr>
            <w:r>
              <w:rPr>
                <w:b/>
                <w:bCs/>
                <w:sz w:val="18"/>
                <w:szCs w:val="18"/>
              </w:rPr>
              <w:t xml:space="preserve">This is a vendor self-assessment, not an independent audit, attestation, or certification. Framework summaries are provided for orientation only. Because Varda Forms is deployed on the customer's own infrastructure, many controls are the customer's responsibility in their environment (see the Shared Responsibility Model). Certification status is stated plainly in Section 7. This document is not legal advice.</w:t>
            </w:r>
          </w:p>
        </w:tc>
      </w:tr>
    </w:tbl>
    <w:p>
      <w:pPr>
        <w:spacing w:after="120"/>
      </w:pPr>
    </w:p>
    <w:p>
      <w:pPr>
        <w:pStyle w:val="Heading1"/>
        <w:spacing w:after="120" w:before="260"/>
      </w:pPr>
      <w:r>
        <w:rPr>
          <w:b/>
          <w:bCs/>
          <w:color w:val="0E1B2C"/>
          <w:sz w:val="30"/>
          <w:szCs w:val="30"/>
        </w:rPr>
        <w:t xml:space="preserve">1. About this document</w:t>
      </w:r>
    </w:p>
    <w:p>
      <w:pPr>
        <w:spacing w:after="120" w:before="0"/>
      </w:pPr>
      <w:r>
        <w:rPr>
          <w:sz w:val="20"/>
          <w:szCs w:val="20"/>
        </w:rPr>
        <w:t xml:space="preserve">Varda Forms is a self-hosted platform for workplace safety, field operations, and finance. It runs entirely on infrastructure the customer owns and controls. This document maps the application-layer security controls Varda Forms provides to three recognized frameworks — CyberSecure Canada, ISO/IEC 27001:2022, and the SOC 2 Trust Services Criteria — so that a security or procurement team can evaluate the product efficiently.</w:t>
      </w:r>
    </w:p>
    <w:p>
      <w:pPr>
        <w:spacing w:after="120" w:before="0"/>
      </w:pPr>
      <w:r>
        <w:rPr>
          <w:sz w:val="20"/>
          <w:szCs w:val="20"/>
        </w:rPr>
        <w:t xml:space="preserve">It is written to be honest about scope: what the software does, what the customer must do in their own deployment, and what is not yet independently certified.</w:t>
      </w:r>
    </w:p>
    <w:p>
      <w:pPr>
        <w:pStyle w:val="Heading1"/>
        <w:spacing w:after="120" w:before="260"/>
      </w:pPr>
      <w:r>
        <w:rPr>
          <w:b/>
          <w:bCs/>
          <w:color w:val="0E1B2C"/>
          <w:sz w:val="30"/>
          <w:szCs w:val="30"/>
        </w:rPr>
        <w:t xml:space="preserve">2. Data sovereignty — the self-hosted model</w:t>
      </w:r>
    </w:p>
    <w:p>
      <w:pPr>
        <w:spacing w:after="120" w:before="0"/>
      </w:pPr>
      <w:r>
        <w:rPr>
          <w:sz w:val="20"/>
          <w:szCs w:val="20"/>
        </w:rPr>
        <w:t xml:space="preserve">Varda Forms is not multi-tenant SaaS. There is no shared vendor database, and the vendor has no standing access to customer data. Records, uploads, and credentials live in a database on the customer's own server, behind the customer's firewall, under the customer's policies. Nothing leaves that environment except features the customer explicitly configures (for example, an optional outbound notification or a bring-your-own-key AI call).</w:t>
      </w:r>
    </w:p>
    <w:p>
      <w:pPr>
        <w:spacing w:after="120" w:before="0"/>
      </w:pPr>
      <w:r>
        <w:rPr>
          <w:sz w:val="20"/>
          <w:szCs w:val="20"/>
        </w:rPr>
        <w:t xml:space="preserve">This materially changes the risk model compared with cloud EHS platforms: a breach of the vendor cannot expose customer data, because the vendor does not hold it. For government agencies, municipalities, and regulated industries with data-residency obligations, the data never leaves their jurisdiction.</w:t>
      </w:r>
    </w:p>
    <w:p>
      <w:pPr>
        <w:pStyle w:val="Heading1"/>
        <w:spacing w:after="120" w:before="260"/>
      </w:pPr>
      <w:r>
        <w:rPr>
          <w:b/>
          <w:bCs/>
          <w:color w:val="0E1B2C"/>
          <w:sz w:val="30"/>
          <w:szCs w:val="30"/>
        </w:rPr>
        <w:t xml:space="preserve">3. Shared responsibility model</w:t>
      </w:r>
    </w:p>
    <w:p>
      <w:pPr>
        <w:spacing w:after="120" w:before="0"/>
      </w:pPr>
      <w:r>
        <w:rPr>
          <w:sz w:val="20"/>
          <w:szCs w:val="20"/>
        </w:rPr>
        <w:t xml:space="preserve">Because Varda Forms is self-hosted, security is a shared responsibility. The vendor provides the application and its security features and a signed update mechanism; the customer operates the infrastructure and enforces organizational policy. The table below sets the boundary.</w:t>
      </w:r>
    </w:p>
    <w:tbl>
      <w:tblPr>
        <w:tblW w:type="dxa" w:w="10080"/>
        <w:tblBorders>
          <w:top w:val="single" w:color="C9D2DB" w:sz="2"/>
          <w:left w:val="single" w:color="C9D2DB" w:sz="2"/>
          <w:bottom w:val="single" w:color="C9D2DB" w:sz="2"/>
          <w:right w:val="single" w:color="C9D2DB" w:sz="2"/>
          <w:insideH w:val="single" w:color="C9D2DB" w:sz="2"/>
          <w:insideV w:val="single" w:color="C9D2DB" w:sz="2"/>
        </w:tblBorders>
      </w:tblPr>
      <w:tblGrid>
        <w:gridCol w:w="2400"/>
        <w:gridCol w:w="7680"/>
      </w:tblGrid>
      <w:tr>
        <w:trPr>
          <w:tblHeader/>
        </w:trPr>
        <w:tc>
          <w:tcPr>
            <w:tcW w:type="dxa" w:w="2400"/>
            <w:shd w:fill="E8EDF2" w:color="auto" w:val="clear"/>
            <w:tcMar>
              <w:top w:type="dxa" w:w="60"/>
              <w:left w:type="dxa" w:w="90"/>
              <w:bottom w:type="dxa" w:w="60"/>
              <w:right w:type="dxa" w:w="90"/>
            </w:tcMar>
          </w:tcPr>
          <w:p>
            <w:pPr>
              <w:spacing w:after="0"/>
            </w:pPr>
            <w:r>
              <w:rPr>
                <w:b/>
                <w:bCs/>
                <w:sz w:val="18"/>
                <w:szCs w:val="18"/>
              </w:rPr>
              <w:t xml:space="preserve">Area</w:t>
            </w:r>
          </w:p>
        </w:tc>
        <w:tc>
          <w:tcPr>
            <w:tcW w:type="dxa" w:w="7680"/>
            <w:shd w:fill="E8EDF2" w:color="auto" w:val="clear"/>
            <w:tcMar>
              <w:top w:type="dxa" w:w="60"/>
              <w:left w:type="dxa" w:w="90"/>
              <w:bottom w:type="dxa" w:w="60"/>
              <w:right w:type="dxa" w:w="90"/>
            </w:tcMar>
          </w:tcPr>
          <w:p>
            <w:pPr>
              <w:spacing w:after="0"/>
            </w:pPr>
            <w:r>
              <w:rPr>
                <w:b/>
                <w:bCs/>
                <w:sz w:val="18"/>
                <w:szCs w:val="18"/>
              </w:rPr>
              <w:t xml:space="preserve">Responsibility</w:t>
            </w:r>
          </w:p>
        </w:tc>
      </w:tr>
      <w:tr>
        <w:trPr>
          <w:tblHeader w:val="false"/>
        </w:trPr>
        <w:tc>
          <w:tcPr>
            <w:tcW w:type="dxa" w:w="2400"/>
            <w:tcMar>
              <w:top w:type="dxa" w:w="60"/>
              <w:left w:type="dxa" w:w="90"/>
              <w:bottom w:type="dxa" w:w="60"/>
              <w:right w:type="dxa" w:w="90"/>
            </w:tcMar>
          </w:tcPr>
          <w:p>
            <w:pPr>
              <w:spacing w:after="0"/>
            </w:pPr>
            <w:r>
              <w:rPr>
                <w:b/>
                <w:bCs/>
                <w:sz w:val="18"/>
                <w:szCs w:val="18"/>
              </w:rPr>
              <w:t xml:space="preserve">Varda Forms (vendor)</w:t>
            </w:r>
          </w:p>
        </w:tc>
        <w:tc>
          <w:tcPr>
            <w:tcW w:type="dxa" w:w="7680"/>
            <w:tcMar>
              <w:top w:type="dxa" w:w="60"/>
              <w:left w:type="dxa" w:w="90"/>
              <w:bottom w:type="dxa" w:w="60"/>
              <w:right w:type="dxa" w:w="90"/>
            </w:tcMar>
          </w:tcPr>
          <w:p>
            <w:pPr>
              <w:spacing w:after="0"/>
            </w:pPr>
            <w:r>
              <w:rPr>
                <w:sz w:val="18"/>
                <w:szCs w:val="18"/>
              </w:rPr>
              <w:t xml:space="preserve">Application security; authentication &amp; authorization features; encryption-in-transit and at-rest capabilities; audit logging; secure development lifecycle; signature-verified update packages; documentation and this mapping.</w:t>
            </w:r>
          </w:p>
        </w:tc>
      </w:tr>
      <w:tr>
        <w:trPr>
          <w:tblHeader w:val="false"/>
        </w:trPr>
        <w:tc>
          <w:tcPr>
            <w:tcW w:type="dxa" w:w="2400"/>
            <w:tcMar>
              <w:top w:type="dxa" w:w="60"/>
              <w:left w:type="dxa" w:w="90"/>
              <w:bottom w:type="dxa" w:w="60"/>
              <w:right w:type="dxa" w:w="90"/>
            </w:tcMar>
          </w:tcPr>
          <w:p>
            <w:pPr>
              <w:spacing w:after="0"/>
            </w:pPr>
            <w:r>
              <w:rPr>
                <w:b/>
                <w:bCs/>
                <w:sz w:val="18"/>
                <w:szCs w:val="18"/>
              </w:rPr>
              <w:t xml:space="preserve">Customer</w:t>
            </w:r>
          </w:p>
        </w:tc>
        <w:tc>
          <w:tcPr>
            <w:tcW w:type="dxa" w:w="7680"/>
            <w:tcMar>
              <w:top w:type="dxa" w:w="60"/>
              <w:left w:type="dxa" w:w="90"/>
              <w:bottom w:type="dxa" w:w="60"/>
              <w:right w:type="dxa" w:w="90"/>
            </w:tcMar>
          </w:tcPr>
          <w:p>
            <w:pPr>
              <w:spacing w:after="0"/>
            </w:pPr>
            <w:r>
              <w:rPr>
                <w:sz w:val="18"/>
                <w:szCs w:val="18"/>
              </w:rPr>
              <w:t xml:space="preserve">Host &amp; OS hardening and patching; network and perimeter controls; physical security; user provisioning/de-provisioning; enforcing the MFA policy; key custody and off-site backup storage; monitoring; and executing their incident-response plan.</w:t>
            </w:r>
          </w:p>
        </w:tc>
      </w:tr>
      <w:tr>
        <w:trPr>
          <w:tblHeader w:val="false"/>
        </w:trPr>
        <w:tc>
          <w:tcPr>
            <w:tcW w:type="dxa" w:w="2400"/>
            <w:tcMar>
              <w:top w:type="dxa" w:w="60"/>
              <w:left w:type="dxa" w:w="90"/>
              <w:bottom w:type="dxa" w:w="60"/>
              <w:right w:type="dxa" w:w="90"/>
            </w:tcMar>
          </w:tcPr>
          <w:p>
            <w:pPr>
              <w:spacing w:after="0"/>
            </w:pPr>
            <w:r>
              <w:rPr>
                <w:b/>
                <w:bCs/>
                <w:sz w:val="18"/>
                <w:szCs w:val="18"/>
              </w:rPr>
              <w:t xml:space="preserve">Shared</w:t>
            </w:r>
          </w:p>
        </w:tc>
        <w:tc>
          <w:tcPr>
            <w:tcW w:type="dxa" w:w="7680"/>
            <w:tcMar>
              <w:top w:type="dxa" w:w="60"/>
              <w:left w:type="dxa" w:w="90"/>
              <w:bottom w:type="dxa" w:w="60"/>
              <w:right w:type="dxa" w:w="90"/>
            </w:tcMar>
          </w:tcPr>
          <w:p>
            <w:pPr>
              <w:spacing w:after="0"/>
            </w:pPr>
            <w:r>
              <w:rPr>
                <w:sz w:val="18"/>
                <w:szCs w:val="18"/>
              </w:rPr>
              <w:t xml:space="preserve">Patching (vendor ships signed updates; customer approves and applies them); access control (vendor provides granular RBAC; customer configures roles); backup &amp; recovery (vendor provides the tooling; customer schedules, tests, and stores copies off-site).</w:t>
            </w:r>
          </w:p>
        </w:tc>
      </w:tr>
    </w:tbl>
    <w:p>
      <w:pPr>
        <w:pStyle w:val="Heading1"/>
        <w:spacing w:after="120" w:before="260"/>
      </w:pPr>
      <w:r>
        <w:rPr>
          <w:b/>
          <w:bCs/>
          <w:color w:val="0E1B2C"/>
          <w:sz w:val="30"/>
          <w:szCs w:val="30"/>
        </w:rPr>
        <w:t xml:space="preserve">4. Application security controls provided by Varda Forms</w:t>
      </w:r>
    </w:p>
    <w:p>
      <w:pPr>
        <w:pStyle w:val="Heading2"/>
        <w:spacing w:after="90" w:before="180"/>
      </w:pPr>
      <w:r>
        <w:rPr>
          <w:b/>
          <w:bCs/>
          <w:color w:val="0E1B2C"/>
          <w:sz w:val="24"/>
          <w:szCs w:val="24"/>
        </w:rPr>
        <w:t xml:space="preserve">Encryption</w:t>
      </w:r>
    </w:p>
    <w:p>
      <w:pPr>
        <w:pStyle w:val="ListParagraph"/>
        <w:numPr>
          <w:ilvl w:val="0"/>
          <w:numId w:val="1"/>
        </w:numPr>
        <w:spacing w:after="60"/>
      </w:pPr>
      <w:r>
        <w:rPr>
          <w:sz w:val="20"/>
          <w:szCs w:val="20"/>
        </w:rPr>
        <w:t xml:space="preserve">In transit: automatic HTTPS (Let's Encrypt via the bundled reverse proxy); TLS 1.2+; HSTS and modern security headers.</w:t>
      </w:r>
    </w:p>
    <w:p>
      <w:pPr>
        <w:pStyle w:val="ListParagraph"/>
        <w:numPr>
          <w:ilvl w:val="0"/>
          <w:numId w:val="1"/>
        </w:numPr>
        <w:spacing w:after="60"/>
      </w:pPr>
      <w:r>
        <w:rPr>
          <w:sz w:val="20"/>
          <w:szCs w:val="20"/>
        </w:rPr>
        <w:t xml:space="preserve">At rest: field-level AES-256-GCM for sensitive fields, or whole-database encryption (SQLCipher) — the customer's choice. Encryption keys are kept separate from the application secret and can be rotated.</w:t>
      </w:r>
    </w:p>
    <w:p>
      <w:pPr>
        <w:pStyle w:val="Heading2"/>
        <w:spacing w:after="90" w:before="180"/>
      </w:pPr>
      <w:r>
        <w:rPr>
          <w:b/>
          <w:bCs/>
          <w:color w:val="0E1B2C"/>
          <w:sz w:val="24"/>
          <w:szCs w:val="24"/>
        </w:rPr>
        <w:t xml:space="preserve">Authentication</w:t>
      </w:r>
    </w:p>
    <w:p>
      <w:pPr>
        <w:pStyle w:val="ListParagraph"/>
        <w:numPr>
          <w:ilvl w:val="0"/>
          <w:numId w:val="1"/>
        </w:numPr>
        <w:spacing w:after="60"/>
      </w:pPr>
      <w:r>
        <w:rPr>
          <w:sz w:val="20"/>
          <w:szCs w:val="20"/>
        </w:rPr>
        <w:t xml:space="preserve">Passwords hashed with bcrypt; token-based sessions with configurable expiry.</w:t>
      </w:r>
    </w:p>
    <w:p>
      <w:pPr>
        <w:pStyle w:val="ListParagraph"/>
        <w:numPr>
          <w:ilvl w:val="0"/>
          <w:numId w:val="1"/>
        </w:numPr>
        <w:spacing w:after="60"/>
      </w:pPr>
      <w:r>
        <w:rPr>
          <w:sz w:val="20"/>
          <w:szCs w:val="20"/>
        </w:rPr>
        <w:t xml:space="preserve">Two-factor authentication (TOTP) with single-use backup codes and automatic lockout after repeated failures; organization policy can leave 2FA optional, require it for administrators, or require it for everyone.</w:t>
      </w:r>
    </w:p>
    <w:p>
      <w:pPr>
        <w:pStyle w:val="ListParagraph"/>
        <w:numPr>
          <w:ilvl w:val="0"/>
          <w:numId w:val="1"/>
        </w:numPr>
        <w:spacing w:after="60"/>
      </w:pPr>
      <w:r>
        <w:rPr>
          <w:sz w:val="20"/>
          <w:szCs w:val="20"/>
        </w:rPr>
        <w:t xml:space="preserve">Single sign-on (SSO) integration with the customer's identity provider.</w:t>
      </w:r>
    </w:p>
    <w:p>
      <w:pPr>
        <w:pStyle w:val="Heading2"/>
        <w:spacing w:after="90" w:before="180"/>
      </w:pPr>
      <w:r>
        <w:rPr>
          <w:b/>
          <w:bCs/>
          <w:color w:val="0E1B2C"/>
          <w:sz w:val="24"/>
          <w:szCs w:val="24"/>
        </w:rPr>
        <w:t xml:space="preserve">Authorization</w:t>
      </w:r>
    </w:p>
    <w:p>
      <w:pPr>
        <w:pStyle w:val="ListParagraph"/>
        <w:numPr>
          <w:ilvl w:val="0"/>
          <w:numId w:val="1"/>
        </w:numPr>
        <w:spacing w:after="60"/>
      </w:pPr>
      <w:r>
        <w:rPr>
          <w:sz w:val="20"/>
          <w:szCs w:val="20"/>
        </w:rPr>
        <w:t xml:space="preserve">Granular role-based access control; least-privilege permissions enforced on the server for every request (not just hidden in the UI).</w:t>
      </w:r>
    </w:p>
    <w:p>
      <w:pPr>
        <w:pStyle w:val="ListParagraph"/>
        <w:numPr>
          <w:ilvl w:val="0"/>
          <w:numId w:val="1"/>
        </w:numPr>
        <w:spacing w:after="60"/>
      </w:pPr>
      <w:r>
        <w:rPr>
          <w:sz w:val="20"/>
          <w:szCs w:val="20"/>
        </w:rPr>
        <w:t xml:space="preserve">Module enablement and per-user menu control to limit exposure to only what a role needs.</w:t>
      </w:r>
    </w:p>
    <w:p>
      <w:pPr>
        <w:pStyle w:val="Heading2"/>
        <w:spacing w:after="90" w:before="180"/>
      </w:pPr>
      <w:r>
        <w:rPr>
          <w:b/>
          <w:bCs/>
          <w:color w:val="0E1B2C"/>
          <w:sz w:val="24"/>
          <w:szCs w:val="24"/>
        </w:rPr>
        <w:t xml:space="preserve">Audit &amp; accountability</w:t>
      </w:r>
    </w:p>
    <w:p>
      <w:pPr>
        <w:pStyle w:val="ListParagraph"/>
        <w:numPr>
          <w:ilvl w:val="0"/>
          <w:numId w:val="1"/>
        </w:numPr>
        <w:spacing w:after="60"/>
      </w:pPr>
      <w:r>
        <w:rPr>
          <w:sz w:val="20"/>
          <w:szCs w:val="20"/>
        </w:rPr>
        <w:t xml:space="preserve">Immutable financial audit trail (who did what, when, with before/after snapshots); activity logging with user attribution and timestamps; chain of custody on records.</w:t>
      </w:r>
    </w:p>
    <w:p>
      <w:pPr>
        <w:pStyle w:val="ListParagraph"/>
        <w:numPr>
          <w:ilvl w:val="0"/>
          <w:numId w:val="1"/>
        </w:numPr>
        <w:spacing w:after="60"/>
      </w:pPr>
      <w:r>
        <w:rPr>
          <w:sz w:val="20"/>
          <w:szCs w:val="20"/>
        </w:rPr>
        <w:t xml:space="preserve">Audit-grade compliance report packs (safety and finance) exportable for auditors.</w:t>
      </w:r>
    </w:p>
    <w:p>
      <w:pPr>
        <w:pStyle w:val="Heading2"/>
        <w:spacing w:after="90" w:before="180"/>
      </w:pPr>
      <w:r>
        <w:rPr>
          <w:b/>
          <w:bCs/>
          <w:color w:val="0E1B2C"/>
          <w:sz w:val="24"/>
          <w:szCs w:val="24"/>
        </w:rPr>
        <w:t xml:space="preserve">Secure updates &amp; supply chain</w:t>
      </w:r>
    </w:p>
    <w:p>
      <w:pPr>
        <w:pStyle w:val="ListParagraph"/>
        <w:numPr>
          <w:ilvl w:val="0"/>
          <w:numId w:val="1"/>
        </w:numPr>
        <w:spacing w:after="60"/>
      </w:pPr>
      <w:r>
        <w:rPr>
          <w:sz w:val="20"/>
          <w:szCs w:val="20"/>
        </w:rPr>
        <w:t xml:space="preserve">Updates are signature-verified (RS256) and applied only when an administrator approves them; they are applied atomically and roll back automatically on a failed health check.</w:t>
      </w:r>
    </w:p>
    <w:p>
      <w:pPr>
        <w:pStyle w:val="ListParagraph"/>
        <w:numPr>
          <w:ilvl w:val="0"/>
          <w:numId w:val="1"/>
        </w:numPr>
        <w:spacing w:after="60"/>
      </w:pPr>
      <w:r>
        <w:rPr>
          <w:sz w:val="20"/>
          <w:szCs w:val="20"/>
        </w:rPr>
        <w:t xml:space="preserve">Only the isolated updater component can touch the container runtime — the application never does.</w:t>
      </w:r>
    </w:p>
    <w:p>
      <w:pPr>
        <w:pStyle w:val="Heading2"/>
        <w:spacing w:after="90" w:before="180"/>
      </w:pPr>
      <w:r>
        <w:rPr>
          <w:b/>
          <w:bCs/>
          <w:color w:val="0E1B2C"/>
          <w:sz w:val="24"/>
          <w:szCs w:val="24"/>
        </w:rPr>
        <w:t xml:space="preserve">Backup, recovery &amp; deployment</w:t>
      </w:r>
    </w:p>
    <w:p>
      <w:pPr>
        <w:pStyle w:val="ListParagraph"/>
        <w:numPr>
          <w:ilvl w:val="0"/>
          <w:numId w:val="1"/>
        </w:numPr>
        <w:spacing w:after="60"/>
      </w:pPr>
      <w:r>
        <w:rPr>
          <w:sz w:val="20"/>
          <w:szCs w:val="20"/>
        </w:rPr>
        <w:t xml:space="preserve">Built-in backup and restore of the database and keys.</w:t>
      </w:r>
    </w:p>
    <w:p>
      <w:pPr>
        <w:pStyle w:val="ListParagraph"/>
        <w:numPr>
          <w:ilvl w:val="0"/>
          <w:numId w:val="1"/>
        </w:numPr>
        <w:spacing w:after="60"/>
      </w:pPr>
      <w:r>
        <w:rPr>
          <w:sz w:val="20"/>
          <w:szCs w:val="20"/>
        </w:rPr>
        <w:t xml:space="preserve">One-command deployment with container isolation and a minimal exposed surface; three access modes including an outbound-only tunnel that requires no inbound firewall rules.</w:t>
      </w:r>
    </w:p>
    <w:p>
      <w:pPr>
        <w:pStyle w:val="Heading2"/>
        <w:spacing w:after="90" w:before="180"/>
      </w:pPr>
      <w:r>
        <w:rPr>
          <w:b/>
          <w:bCs/>
          <w:color w:val="0E1B2C"/>
          <w:sz w:val="24"/>
          <w:szCs w:val="24"/>
        </w:rPr>
        <w:t xml:space="preserve">Secure development</w:t>
      </w:r>
    </w:p>
    <w:p>
      <w:pPr>
        <w:pStyle w:val="ListParagraph"/>
        <w:numPr>
          <w:ilvl w:val="0"/>
          <w:numId w:val="1"/>
        </w:numPr>
        <w:spacing w:after="60"/>
      </w:pPr>
      <w:r>
        <w:rPr>
          <w:sz w:val="20"/>
          <w:szCs w:val="20"/>
        </w:rPr>
        <w:t xml:space="preserve">Parameterized database access through an ORM; server-side input validation; automated test suites covering security-sensitive paths (authentication, authorization, encryption, gating).</w:t>
      </w:r>
    </w:p>
    <w:p>
      <w:r>
        <w:br w:type="page"/>
      </w:r>
    </w:p>
    <w:p>
      <w:pPr>
        <w:pStyle w:val="Heading1"/>
        <w:spacing w:after="120" w:before="260"/>
      </w:pPr>
      <w:r>
        <w:rPr>
          <w:b/>
          <w:bCs/>
          <w:color w:val="0E1B2C"/>
          <w:sz w:val="30"/>
          <w:szCs w:val="30"/>
        </w:rPr>
        <w:t xml:space="preserve">5. Framework mappings</w:t>
      </w:r>
    </w:p>
    <w:p>
      <w:pPr>
        <w:pStyle w:val="Heading2"/>
        <w:spacing w:after="90" w:before="180"/>
      </w:pPr>
      <w:r>
        <w:rPr>
          <w:b/>
          <w:bCs/>
          <w:color w:val="0E1B2C"/>
          <w:sz w:val="24"/>
          <w:szCs w:val="24"/>
        </w:rPr>
        <w:t xml:space="preserve">5.1  CyberSecure Canada — 13 baseline controls</w:t>
      </w:r>
    </w:p>
    <w:p>
      <w:pPr>
        <w:spacing w:after="120" w:before="0"/>
      </w:pPr>
      <w:r>
        <w:rPr>
          <w:color w:val="5B6472"/>
          <w:sz w:val="18"/>
          <w:szCs w:val="18"/>
        </w:rPr>
        <w:t xml:space="preserve">CyberSecure Canada is the federal certification for organizations of 1–499 employees, administered by the Standards Council of Canada against the Canadian Centre for Cyber Security's Baseline Cyber Security Controls (v1.2). Responsibility column: V = Varda provides, C = customer operates, S = shared.</w:t>
      </w:r>
    </w:p>
    <w:tbl>
      <w:tblPr>
        <w:tblW w:type="dxa" w:w="10080"/>
        <w:tblBorders>
          <w:top w:val="single" w:color="C9D2DB" w:sz="2"/>
          <w:left w:val="single" w:color="C9D2DB" w:sz="2"/>
          <w:bottom w:val="single" w:color="C9D2DB" w:sz="2"/>
          <w:right w:val="single" w:color="C9D2DB" w:sz="2"/>
          <w:insideH w:val="single" w:color="C9D2DB" w:sz="2"/>
          <w:insideV w:val="single" w:color="C9D2DB" w:sz="2"/>
        </w:tblBorders>
      </w:tblPr>
      <w:tblGrid>
        <w:gridCol w:w="2500"/>
        <w:gridCol w:w="6080"/>
        <w:gridCol w:w="1500"/>
      </w:tblGrid>
      <w:tr>
        <w:trPr>
          <w:tblHeader/>
        </w:trPr>
        <w:tc>
          <w:tcPr>
            <w:tcW w:type="dxa" w:w="2500"/>
            <w:shd w:fill="E8EDF2" w:color="auto" w:val="clear"/>
            <w:tcMar>
              <w:top w:type="dxa" w:w="60"/>
              <w:left w:type="dxa" w:w="90"/>
              <w:bottom w:type="dxa" w:w="60"/>
              <w:right w:type="dxa" w:w="90"/>
            </w:tcMar>
          </w:tcPr>
          <w:p>
            <w:pPr>
              <w:spacing w:after="0"/>
            </w:pPr>
            <w:r>
              <w:rPr>
                <w:b/>
                <w:bCs/>
                <w:sz w:val="18"/>
                <w:szCs w:val="18"/>
              </w:rPr>
              <w:t xml:space="preserve">Baseline control</w:t>
            </w:r>
          </w:p>
        </w:tc>
        <w:tc>
          <w:tcPr>
            <w:tcW w:type="dxa" w:w="6080"/>
            <w:shd w:fill="E8EDF2" w:color="auto" w:val="clear"/>
            <w:tcMar>
              <w:top w:type="dxa" w:w="60"/>
              <w:left w:type="dxa" w:w="90"/>
              <w:bottom w:type="dxa" w:w="60"/>
              <w:right w:type="dxa" w:w="90"/>
            </w:tcMar>
          </w:tcPr>
          <w:p>
            <w:pPr>
              <w:spacing w:after="0"/>
            </w:pPr>
            <w:r>
              <w:rPr>
                <w:b/>
                <w:bCs/>
                <w:sz w:val="18"/>
                <w:szCs w:val="18"/>
              </w:rPr>
              <w:t xml:space="preserve">How Varda Forms supports it</w:t>
            </w:r>
          </w:p>
        </w:tc>
        <w:tc>
          <w:tcPr>
            <w:tcW w:type="dxa" w:w="1500"/>
            <w:shd w:fill="E8EDF2" w:color="auto" w:val="clear"/>
            <w:tcMar>
              <w:top w:type="dxa" w:w="60"/>
              <w:left w:type="dxa" w:w="90"/>
              <w:bottom w:type="dxa" w:w="60"/>
              <w:right w:type="dxa" w:w="90"/>
            </w:tcMar>
          </w:tcPr>
          <w:p>
            <w:pPr>
              <w:spacing w:after="0"/>
              <w:jc w:val="center"/>
            </w:pPr>
            <w:r>
              <w:rPr>
                <w:b/>
                <w:bCs/>
                <w:sz w:val="18"/>
                <w:szCs w:val="18"/>
              </w:rPr>
              <w:t xml:space="preserve">Resp.</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1. Incident response plan</w:t>
            </w:r>
          </w:p>
        </w:tc>
        <w:tc>
          <w:tcPr>
            <w:tcW w:type="dxa" w:w="6080"/>
            <w:tcMar>
              <w:top w:type="dxa" w:w="60"/>
              <w:left w:type="dxa" w:w="90"/>
              <w:bottom w:type="dxa" w:w="60"/>
              <w:right w:type="dxa" w:w="90"/>
            </w:tcMar>
          </w:tcPr>
          <w:p>
            <w:pPr>
              <w:spacing w:after="0"/>
            </w:pPr>
            <w:r>
              <w:rPr>
                <w:sz w:val="18"/>
                <w:szCs w:val="18"/>
              </w:rPr>
              <w:t xml:space="preserve">Immutable audit trail and activity logs provide the evidence an IR plan needs; near-miss/incident modules for safety events. The written plan is the customer's.</w:t>
            </w:r>
          </w:p>
        </w:tc>
        <w:tc>
          <w:tcPr>
            <w:tcW w:type="dxa" w:w="1500"/>
            <w:tcMar>
              <w:top w:type="dxa" w:w="60"/>
              <w:left w:type="dxa" w:w="90"/>
              <w:bottom w:type="dxa" w:w="60"/>
              <w:right w:type="dxa" w:w="90"/>
            </w:tcMar>
          </w:tcPr>
          <w:p>
            <w:pPr>
              <w:spacing w:after="0"/>
              <w:jc w:val="center"/>
            </w:pPr>
            <w:r>
              <w:rPr>
                <w:sz w:val="18"/>
                <w:szCs w:val="18"/>
              </w:rPr>
              <w:t xml:space="preserve">S</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2. Automated patching</w:t>
            </w:r>
          </w:p>
        </w:tc>
        <w:tc>
          <w:tcPr>
            <w:tcW w:type="dxa" w:w="6080"/>
            <w:tcMar>
              <w:top w:type="dxa" w:w="60"/>
              <w:left w:type="dxa" w:w="90"/>
              <w:bottom w:type="dxa" w:w="60"/>
              <w:right w:type="dxa" w:w="90"/>
            </w:tcMar>
          </w:tcPr>
          <w:p>
            <w:pPr>
              <w:spacing w:after="0"/>
            </w:pPr>
            <w:r>
              <w:rPr>
                <w:sz w:val="18"/>
                <w:szCs w:val="18"/>
              </w:rPr>
              <w:t xml:space="preserve">Signature-verified, admin-approved application updates with auto-rollback. Host/OS patching is the customer's.</w:t>
            </w:r>
          </w:p>
        </w:tc>
        <w:tc>
          <w:tcPr>
            <w:tcW w:type="dxa" w:w="1500"/>
            <w:tcMar>
              <w:top w:type="dxa" w:w="60"/>
              <w:left w:type="dxa" w:w="90"/>
              <w:bottom w:type="dxa" w:w="60"/>
              <w:right w:type="dxa" w:w="90"/>
            </w:tcMar>
          </w:tcPr>
          <w:p>
            <w:pPr>
              <w:spacing w:after="0"/>
              <w:jc w:val="center"/>
            </w:pPr>
            <w:r>
              <w:rPr>
                <w:sz w:val="18"/>
                <w:szCs w:val="18"/>
              </w:rPr>
              <w:t xml:space="preserve">S</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3. Secure configuration</w:t>
            </w:r>
          </w:p>
        </w:tc>
        <w:tc>
          <w:tcPr>
            <w:tcW w:type="dxa" w:w="6080"/>
            <w:tcMar>
              <w:top w:type="dxa" w:w="60"/>
              <w:left w:type="dxa" w:w="90"/>
              <w:bottom w:type="dxa" w:w="60"/>
              <w:right w:type="dxa" w:w="90"/>
            </w:tcMar>
          </w:tcPr>
          <w:p>
            <w:pPr>
              <w:spacing w:after="0"/>
            </w:pPr>
            <w:r>
              <w:rPr>
                <w:sz w:val="18"/>
                <w:szCs w:val="18"/>
              </w:rPr>
              <w:t xml:space="preserve">Hardened defaults, security headers, minimal exposed surface, strong secret generation on install.</w:t>
            </w:r>
          </w:p>
        </w:tc>
        <w:tc>
          <w:tcPr>
            <w:tcW w:type="dxa" w:w="1500"/>
            <w:tcMar>
              <w:top w:type="dxa" w:w="60"/>
              <w:left w:type="dxa" w:w="90"/>
              <w:bottom w:type="dxa" w:w="60"/>
              <w:right w:type="dxa" w:w="90"/>
            </w:tcMar>
          </w:tcPr>
          <w:p>
            <w:pPr>
              <w:spacing w:after="0"/>
              <w:jc w:val="center"/>
            </w:pPr>
            <w:r>
              <w:rPr>
                <w:sz w:val="18"/>
                <w:szCs w:val="18"/>
              </w:rPr>
              <w:t xml:space="preserve">V</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4. Strong user authentication</w:t>
            </w:r>
          </w:p>
        </w:tc>
        <w:tc>
          <w:tcPr>
            <w:tcW w:type="dxa" w:w="6080"/>
            <w:tcMar>
              <w:top w:type="dxa" w:w="60"/>
              <w:left w:type="dxa" w:w="90"/>
              <w:bottom w:type="dxa" w:w="60"/>
              <w:right w:type="dxa" w:w="90"/>
            </w:tcMar>
          </w:tcPr>
          <w:p>
            <w:pPr>
              <w:spacing w:after="0"/>
            </w:pPr>
            <w:r>
              <w:rPr>
                <w:sz w:val="18"/>
                <w:szCs w:val="18"/>
              </w:rPr>
              <w:t xml:space="preserve">bcrypt hashing, TOTP 2FA with backup codes + lockout, org 2FA policy, SSO.</w:t>
            </w:r>
          </w:p>
        </w:tc>
        <w:tc>
          <w:tcPr>
            <w:tcW w:type="dxa" w:w="1500"/>
            <w:tcMar>
              <w:top w:type="dxa" w:w="60"/>
              <w:left w:type="dxa" w:w="90"/>
              <w:bottom w:type="dxa" w:w="60"/>
              <w:right w:type="dxa" w:w="90"/>
            </w:tcMar>
          </w:tcPr>
          <w:p>
            <w:pPr>
              <w:spacing w:after="0"/>
              <w:jc w:val="center"/>
            </w:pPr>
            <w:r>
              <w:rPr>
                <w:sz w:val="18"/>
                <w:szCs w:val="18"/>
              </w:rPr>
              <w:t xml:space="preserve">V</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5. Awareness training</w:t>
            </w:r>
          </w:p>
        </w:tc>
        <w:tc>
          <w:tcPr>
            <w:tcW w:type="dxa" w:w="6080"/>
            <w:tcMar>
              <w:top w:type="dxa" w:w="60"/>
              <w:left w:type="dxa" w:w="90"/>
              <w:bottom w:type="dxa" w:w="60"/>
              <w:right w:type="dxa" w:w="90"/>
            </w:tcMar>
          </w:tcPr>
          <w:p>
            <w:pPr>
              <w:spacing w:after="0"/>
            </w:pPr>
            <w:r>
              <w:rPr>
                <w:sz w:val="18"/>
                <w:szCs w:val="18"/>
              </w:rPr>
              <w:t xml:space="preserve">In-app help/how-to guides. Program delivery is the customer's.</w:t>
            </w:r>
          </w:p>
        </w:tc>
        <w:tc>
          <w:tcPr>
            <w:tcW w:type="dxa" w:w="1500"/>
            <w:tcMar>
              <w:top w:type="dxa" w:w="60"/>
              <w:left w:type="dxa" w:w="90"/>
              <w:bottom w:type="dxa" w:w="60"/>
              <w:right w:type="dxa" w:w="90"/>
            </w:tcMar>
          </w:tcPr>
          <w:p>
            <w:pPr>
              <w:spacing w:after="0"/>
              <w:jc w:val="center"/>
            </w:pPr>
            <w:r>
              <w:rPr>
                <w:sz w:val="18"/>
                <w:szCs w:val="18"/>
              </w:rPr>
              <w:t xml:space="preserve">C</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6. Backup &amp; recovery</w:t>
            </w:r>
          </w:p>
        </w:tc>
        <w:tc>
          <w:tcPr>
            <w:tcW w:type="dxa" w:w="6080"/>
            <w:tcMar>
              <w:top w:type="dxa" w:w="60"/>
              <w:left w:type="dxa" w:w="90"/>
              <w:bottom w:type="dxa" w:w="60"/>
              <w:right w:type="dxa" w:w="90"/>
            </w:tcMar>
          </w:tcPr>
          <w:p>
            <w:pPr>
              <w:spacing w:after="0"/>
            </w:pPr>
            <w:r>
              <w:rPr>
                <w:sz w:val="18"/>
                <w:szCs w:val="18"/>
              </w:rPr>
              <w:t xml:space="preserve">Built-in backup/restore tooling; customer schedules, tests, stores off-site.</w:t>
            </w:r>
          </w:p>
        </w:tc>
        <w:tc>
          <w:tcPr>
            <w:tcW w:type="dxa" w:w="1500"/>
            <w:tcMar>
              <w:top w:type="dxa" w:w="60"/>
              <w:left w:type="dxa" w:w="90"/>
              <w:bottom w:type="dxa" w:w="60"/>
              <w:right w:type="dxa" w:w="90"/>
            </w:tcMar>
          </w:tcPr>
          <w:p>
            <w:pPr>
              <w:spacing w:after="0"/>
              <w:jc w:val="center"/>
            </w:pPr>
            <w:r>
              <w:rPr>
                <w:sz w:val="18"/>
                <w:szCs w:val="18"/>
              </w:rPr>
              <w:t xml:space="preserve">S</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7. Secure mobility</w:t>
            </w:r>
          </w:p>
        </w:tc>
        <w:tc>
          <w:tcPr>
            <w:tcW w:type="dxa" w:w="6080"/>
            <w:tcMar>
              <w:top w:type="dxa" w:w="60"/>
              <w:left w:type="dxa" w:w="90"/>
              <w:bottom w:type="dxa" w:w="60"/>
              <w:right w:type="dxa" w:w="90"/>
            </w:tcMar>
          </w:tcPr>
          <w:p>
            <w:pPr>
              <w:spacing w:after="0"/>
            </w:pPr>
            <w:r>
              <w:rPr>
                <w:sz w:val="18"/>
                <w:szCs w:val="18"/>
              </w:rPr>
              <w:t xml:space="preserve">Offline-capable app with encrypted transport; secure token storage on mobile.</w:t>
            </w:r>
          </w:p>
        </w:tc>
        <w:tc>
          <w:tcPr>
            <w:tcW w:type="dxa" w:w="1500"/>
            <w:tcMar>
              <w:top w:type="dxa" w:w="60"/>
              <w:left w:type="dxa" w:w="90"/>
              <w:bottom w:type="dxa" w:w="60"/>
              <w:right w:type="dxa" w:w="90"/>
            </w:tcMar>
          </w:tcPr>
          <w:p>
            <w:pPr>
              <w:spacing w:after="0"/>
              <w:jc w:val="center"/>
            </w:pPr>
            <w:r>
              <w:rPr>
                <w:sz w:val="18"/>
                <w:szCs w:val="18"/>
              </w:rPr>
              <w:t xml:space="preserve">V</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8. Perimeter defences</w:t>
            </w:r>
          </w:p>
        </w:tc>
        <w:tc>
          <w:tcPr>
            <w:tcW w:type="dxa" w:w="6080"/>
            <w:tcMar>
              <w:top w:type="dxa" w:w="60"/>
              <w:left w:type="dxa" w:w="90"/>
              <w:bottom w:type="dxa" w:w="60"/>
              <w:right w:type="dxa" w:w="90"/>
            </w:tcMar>
          </w:tcPr>
          <w:p>
            <w:pPr>
              <w:spacing w:after="0"/>
            </w:pPr>
            <w:r>
              <w:rPr>
                <w:sz w:val="18"/>
                <w:szCs w:val="18"/>
              </w:rPr>
              <w:t xml:space="preserve">Reverse proxy with TLS; outbound-only tunnel mode needs no open inbound ports. Network firewalling is the customer's.</w:t>
            </w:r>
          </w:p>
        </w:tc>
        <w:tc>
          <w:tcPr>
            <w:tcW w:type="dxa" w:w="1500"/>
            <w:tcMar>
              <w:top w:type="dxa" w:w="60"/>
              <w:left w:type="dxa" w:w="90"/>
              <w:bottom w:type="dxa" w:w="60"/>
              <w:right w:type="dxa" w:w="90"/>
            </w:tcMar>
          </w:tcPr>
          <w:p>
            <w:pPr>
              <w:spacing w:after="0"/>
              <w:jc w:val="center"/>
            </w:pPr>
            <w:r>
              <w:rPr>
                <w:sz w:val="18"/>
                <w:szCs w:val="18"/>
              </w:rPr>
              <w:t xml:space="preserve">S</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9. Malware protection</w:t>
            </w:r>
          </w:p>
        </w:tc>
        <w:tc>
          <w:tcPr>
            <w:tcW w:type="dxa" w:w="6080"/>
            <w:tcMar>
              <w:top w:type="dxa" w:w="60"/>
              <w:left w:type="dxa" w:w="90"/>
              <w:bottom w:type="dxa" w:w="60"/>
              <w:right w:type="dxa" w:w="90"/>
            </w:tcMar>
          </w:tcPr>
          <w:p>
            <w:pPr>
              <w:spacing w:after="0"/>
            </w:pPr>
            <w:r>
              <w:rPr>
                <w:sz w:val="18"/>
                <w:szCs w:val="18"/>
              </w:rPr>
              <w:t xml:space="preserve">Container isolation limits blast radius. Endpoint AV is the customer's.</w:t>
            </w:r>
          </w:p>
        </w:tc>
        <w:tc>
          <w:tcPr>
            <w:tcW w:type="dxa" w:w="1500"/>
            <w:tcMar>
              <w:top w:type="dxa" w:w="60"/>
              <w:left w:type="dxa" w:w="90"/>
              <w:bottom w:type="dxa" w:w="60"/>
              <w:right w:type="dxa" w:w="90"/>
            </w:tcMar>
          </w:tcPr>
          <w:p>
            <w:pPr>
              <w:spacing w:after="0"/>
              <w:jc w:val="center"/>
            </w:pPr>
            <w:r>
              <w:rPr>
                <w:sz w:val="18"/>
                <w:szCs w:val="18"/>
              </w:rPr>
              <w:t xml:space="preserve">C</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10. Secure cloud / outsourced IT</w:t>
            </w:r>
          </w:p>
        </w:tc>
        <w:tc>
          <w:tcPr>
            <w:tcW w:type="dxa" w:w="6080"/>
            <w:tcMar>
              <w:top w:type="dxa" w:w="60"/>
              <w:left w:type="dxa" w:w="90"/>
              <w:bottom w:type="dxa" w:w="60"/>
              <w:right w:type="dxa" w:w="90"/>
            </w:tcMar>
          </w:tcPr>
          <w:p>
            <w:pPr>
              <w:spacing w:after="0"/>
            </w:pPr>
            <w:r>
              <w:rPr>
                <w:sz w:val="18"/>
                <w:szCs w:val="18"/>
              </w:rPr>
              <w:t xml:space="preserve">Self-hosted — no third-party data processor by default; sub-processors are only what the customer configures.</w:t>
            </w:r>
          </w:p>
        </w:tc>
        <w:tc>
          <w:tcPr>
            <w:tcW w:type="dxa" w:w="1500"/>
            <w:tcMar>
              <w:top w:type="dxa" w:w="60"/>
              <w:left w:type="dxa" w:w="90"/>
              <w:bottom w:type="dxa" w:w="60"/>
              <w:right w:type="dxa" w:w="90"/>
            </w:tcMar>
          </w:tcPr>
          <w:p>
            <w:pPr>
              <w:spacing w:after="0"/>
              <w:jc w:val="center"/>
            </w:pPr>
            <w:r>
              <w:rPr>
                <w:sz w:val="18"/>
                <w:szCs w:val="18"/>
              </w:rPr>
              <w:t xml:space="preserve">V</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11. Secure websites</w:t>
            </w:r>
          </w:p>
        </w:tc>
        <w:tc>
          <w:tcPr>
            <w:tcW w:type="dxa" w:w="6080"/>
            <w:tcMar>
              <w:top w:type="dxa" w:w="60"/>
              <w:left w:type="dxa" w:w="90"/>
              <w:bottom w:type="dxa" w:w="60"/>
              <w:right w:type="dxa" w:w="90"/>
            </w:tcMar>
          </w:tcPr>
          <w:p>
            <w:pPr>
              <w:spacing w:after="0"/>
            </w:pPr>
            <w:r>
              <w:rPr>
                <w:sz w:val="18"/>
                <w:szCs w:val="18"/>
              </w:rPr>
              <w:t xml:space="preserve">Automatic HTTPS, HSTS, security headers, input validation, ORM-parameterized queries.</w:t>
            </w:r>
          </w:p>
        </w:tc>
        <w:tc>
          <w:tcPr>
            <w:tcW w:type="dxa" w:w="1500"/>
            <w:tcMar>
              <w:top w:type="dxa" w:w="60"/>
              <w:left w:type="dxa" w:w="90"/>
              <w:bottom w:type="dxa" w:w="60"/>
              <w:right w:type="dxa" w:w="90"/>
            </w:tcMar>
          </w:tcPr>
          <w:p>
            <w:pPr>
              <w:spacing w:after="0"/>
              <w:jc w:val="center"/>
            </w:pPr>
            <w:r>
              <w:rPr>
                <w:sz w:val="18"/>
                <w:szCs w:val="18"/>
              </w:rPr>
              <w:t xml:space="preserve">V</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12. Access control</w:t>
            </w:r>
          </w:p>
        </w:tc>
        <w:tc>
          <w:tcPr>
            <w:tcW w:type="dxa" w:w="6080"/>
            <w:tcMar>
              <w:top w:type="dxa" w:w="60"/>
              <w:left w:type="dxa" w:w="90"/>
              <w:bottom w:type="dxa" w:w="60"/>
              <w:right w:type="dxa" w:w="90"/>
            </w:tcMar>
          </w:tcPr>
          <w:p>
            <w:pPr>
              <w:spacing w:after="0"/>
            </w:pPr>
            <w:r>
              <w:rPr>
                <w:sz w:val="18"/>
                <w:szCs w:val="18"/>
              </w:rPr>
              <w:t xml:space="preserve">Granular server-enforced RBAC, least privilege, SSO, session expiry.</w:t>
            </w:r>
          </w:p>
        </w:tc>
        <w:tc>
          <w:tcPr>
            <w:tcW w:type="dxa" w:w="1500"/>
            <w:tcMar>
              <w:top w:type="dxa" w:w="60"/>
              <w:left w:type="dxa" w:w="90"/>
              <w:bottom w:type="dxa" w:w="60"/>
              <w:right w:type="dxa" w:w="90"/>
            </w:tcMar>
          </w:tcPr>
          <w:p>
            <w:pPr>
              <w:spacing w:after="0"/>
              <w:jc w:val="center"/>
            </w:pPr>
            <w:r>
              <w:rPr>
                <w:sz w:val="18"/>
                <w:szCs w:val="18"/>
              </w:rPr>
              <w:t xml:space="preserve">V</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13. Secure portable media</w:t>
            </w:r>
          </w:p>
        </w:tc>
        <w:tc>
          <w:tcPr>
            <w:tcW w:type="dxa" w:w="6080"/>
            <w:tcMar>
              <w:top w:type="dxa" w:w="60"/>
              <w:left w:type="dxa" w:w="90"/>
              <w:bottom w:type="dxa" w:w="60"/>
              <w:right w:type="dxa" w:w="90"/>
            </w:tcMar>
          </w:tcPr>
          <w:p>
            <w:pPr>
              <w:spacing w:after="0"/>
            </w:pPr>
            <w:r>
              <w:rPr>
                <w:sz w:val="18"/>
                <w:szCs w:val="18"/>
              </w:rPr>
              <w:t xml:space="preserve">Encryption at rest protects data at the source. Media handling policy is the customer's.</w:t>
            </w:r>
          </w:p>
        </w:tc>
        <w:tc>
          <w:tcPr>
            <w:tcW w:type="dxa" w:w="1500"/>
            <w:tcMar>
              <w:top w:type="dxa" w:w="60"/>
              <w:left w:type="dxa" w:w="90"/>
              <w:bottom w:type="dxa" w:w="60"/>
              <w:right w:type="dxa" w:w="90"/>
            </w:tcMar>
          </w:tcPr>
          <w:p>
            <w:pPr>
              <w:spacing w:after="0"/>
              <w:jc w:val="center"/>
            </w:pPr>
            <w:r>
              <w:rPr>
                <w:sz w:val="18"/>
                <w:szCs w:val="18"/>
              </w:rPr>
              <w:t xml:space="preserve">C</w:t>
            </w:r>
          </w:p>
        </w:tc>
      </w:tr>
    </w:tbl>
    <w:p>
      <w:pPr>
        <w:pStyle w:val="Heading2"/>
        <w:spacing w:after="90" w:before="180"/>
      </w:pPr>
      <w:r>
        <w:rPr>
          <w:b/>
          <w:bCs/>
          <w:color w:val="0E1B2C"/>
          <w:sz w:val="24"/>
          <w:szCs w:val="24"/>
        </w:rPr>
        <w:t xml:space="preserve">5.2  ISO/IEC 27001:2022 — Annex A themes</w:t>
      </w:r>
    </w:p>
    <w:p>
      <w:pPr>
        <w:spacing w:after="120" w:before="0"/>
      </w:pPr>
      <w:r>
        <w:rPr>
          <w:color w:val="5B6472"/>
          <w:sz w:val="18"/>
          <w:szCs w:val="18"/>
        </w:rPr>
        <w:t xml:space="preserve">Annex A groups 93 controls into four themes. Varda addresses the technological controls most relevant to a self-hosted application; organizational, people, and physical controls are largely the customer's ISMS responsibility.</w:t>
      </w:r>
    </w:p>
    <w:tbl>
      <w:tblPr>
        <w:tblW w:type="dxa" w:w="10080"/>
        <w:tblBorders>
          <w:top w:val="single" w:color="C9D2DB" w:sz="2"/>
          <w:left w:val="single" w:color="C9D2DB" w:sz="2"/>
          <w:bottom w:val="single" w:color="C9D2DB" w:sz="2"/>
          <w:right w:val="single" w:color="C9D2DB" w:sz="2"/>
          <w:insideH w:val="single" w:color="C9D2DB" w:sz="2"/>
          <w:insideV w:val="single" w:color="C9D2DB" w:sz="2"/>
        </w:tblBorders>
      </w:tblPr>
      <w:tblGrid>
        <w:gridCol w:w="2500"/>
        <w:gridCol w:w="6080"/>
        <w:gridCol w:w="1500"/>
      </w:tblGrid>
      <w:tr>
        <w:trPr>
          <w:tblHeader/>
        </w:trPr>
        <w:tc>
          <w:tcPr>
            <w:tcW w:type="dxa" w:w="2500"/>
            <w:shd w:fill="E8EDF2" w:color="auto" w:val="clear"/>
            <w:tcMar>
              <w:top w:type="dxa" w:w="60"/>
              <w:left w:type="dxa" w:w="90"/>
              <w:bottom w:type="dxa" w:w="60"/>
              <w:right w:type="dxa" w:w="90"/>
            </w:tcMar>
          </w:tcPr>
          <w:p>
            <w:pPr>
              <w:spacing w:after="0"/>
            </w:pPr>
            <w:r>
              <w:rPr>
                <w:b/>
                <w:bCs/>
                <w:sz w:val="18"/>
                <w:szCs w:val="18"/>
              </w:rPr>
              <w:t xml:space="preserve">Annex A theme</w:t>
            </w:r>
          </w:p>
        </w:tc>
        <w:tc>
          <w:tcPr>
            <w:tcW w:type="dxa" w:w="6080"/>
            <w:shd w:fill="E8EDF2" w:color="auto" w:val="clear"/>
            <w:tcMar>
              <w:top w:type="dxa" w:w="60"/>
              <w:left w:type="dxa" w:w="90"/>
              <w:bottom w:type="dxa" w:w="60"/>
              <w:right w:type="dxa" w:w="90"/>
            </w:tcMar>
          </w:tcPr>
          <w:p>
            <w:pPr>
              <w:spacing w:after="0"/>
            </w:pPr>
            <w:r>
              <w:rPr>
                <w:b/>
                <w:bCs/>
                <w:sz w:val="18"/>
                <w:szCs w:val="18"/>
              </w:rPr>
              <w:t xml:space="preserve">How Varda Forms supports it</w:t>
            </w:r>
          </w:p>
        </w:tc>
        <w:tc>
          <w:tcPr>
            <w:tcW w:type="dxa" w:w="1500"/>
            <w:shd w:fill="E8EDF2" w:color="auto" w:val="clear"/>
            <w:tcMar>
              <w:top w:type="dxa" w:w="60"/>
              <w:left w:type="dxa" w:w="90"/>
              <w:bottom w:type="dxa" w:w="60"/>
              <w:right w:type="dxa" w:w="90"/>
            </w:tcMar>
          </w:tcPr>
          <w:p>
            <w:pPr>
              <w:spacing w:after="0"/>
              <w:jc w:val="center"/>
            </w:pPr>
            <w:r>
              <w:rPr>
                <w:b/>
                <w:bCs/>
                <w:sz w:val="18"/>
                <w:szCs w:val="18"/>
              </w:rPr>
              <w:t xml:space="preserve">Resp.</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Organizational (A.5)</w:t>
            </w:r>
          </w:p>
        </w:tc>
        <w:tc>
          <w:tcPr>
            <w:tcW w:type="dxa" w:w="6080"/>
            <w:tcMar>
              <w:top w:type="dxa" w:w="60"/>
              <w:left w:type="dxa" w:w="90"/>
              <w:bottom w:type="dxa" w:w="60"/>
              <w:right w:type="dxa" w:w="90"/>
            </w:tcMar>
          </w:tcPr>
          <w:p>
            <w:pPr>
              <w:spacing w:after="0"/>
            </w:pPr>
            <w:r>
              <w:rPr>
                <w:sz w:val="18"/>
                <w:szCs w:val="18"/>
              </w:rPr>
              <w:t xml:space="preserve">Access-control policy enforced in software; supplier/data-processor exposure minimized by self-hosting; documented security posture (this document).</w:t>
            </w:r>
          </w:p>
        </w:tc>
        <w:tc>
          <w:tcPr>
            <w:tcW w:type="dxa" w:w="1500"/>
            <w:tcMar>
              <w:top w:type="dxa" w:w="60"/>
              <w:left w:type="dxa" w:w="90"/>
              <w:bottom w:type="dxa" w:w="60"/>
              <w:right w:type="dxa" w:w="90"/>
            </w:tcMar>
          </w:tcPr>
          <w:p>
            <w:pPr>
              <w:spacing w:after="0"/>
              <w:jc w:val="center"/>
            </w:pPr>
            <w:r>
              <w:rPr>
                <w:sz w:val="18"/>
                <w:szCs w:val="18"/>
              </w:rPr>
              <w:t xml:space="preserve">S</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People (A.6)</w:t>
            </w:r>
          </w:p>
        </w:tc>
        <w:tc>
          <w:tcPr>
            <w:tcW w:type="dxa" w:w="6080"/>
            <w:tcMar>
              <w:top w:type="dxa" w:w="60"/>
              <w:left w:type="dxa" w:w="90"/>
              <w:bottom w:type="dxa" w:w="60"/>
              <w:right w:type="dxa" w:w="90"/>
            </w:tcMar>
          </w:tcPr>
          <w:p>
            <w:pPr>
              <w:spacing w:after="0"/>
            </w:pPr>
            <w:r>
              <w:rPr>
                <w:sz w:val="18"/>
                <w:szCs w:val="18"/>
              </w:rPr>
              <w:t xml:space="preserve">Per-user accounts, role assignment, and de-provisioning controls. Screening/agreements are the customer's.</w:t>
            </w:r>
          </w:p>
        </w:tc>
        <w:tc>
          <w:tcPr>
            <w:tcW w:type="dxa" w:w="1500"/>
            <w:tcMar>
              <w:top w:type="dxa" w:w="60"/>
              <w:left w:type="dxa" w:w="90"/>
              <w:bottom w:type="dxa" w:w="60"/>
              <w:right w:type="dxa" w:w="90"/>
            </w:tcMar>
          </w:tcPr>
          <w:p>
            <w:pPr>
              <w:spacing w:after="0"/>
              <w:jc w:val="center"/>
            </w:pPr>
            <w:r>
              <w:rPr>
                <w:sz w:val="18"/>
                <w:szCs w:val="18"/>
              </w:rPr>
              <w:t xml:space="preserve">C</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Physical (A.7)</w:t>
            </w:r>
          </w:p>
        </w:tc>
        <w:tc>
          <w:tcPr>
            <w:tcW w:type="dxa" w:w="6080"/>
            <w:tcMar>
              <w:top w:type="dxa" w:w="60"/>
              <w:left w:type="dxa" w:w="90"/>
              <w:bottom w:type="dxa" w:w="60"/>
              <w:right w:type="dxa" w:w="90"/>
            </w:tcMar>
          </w:tcPr>
          <w:p>
            <w:pPr>
              <w:spacing w:after="0"/>
            </w:pPr>
            <w:r>
              <w:rPr>
                <w:sz w:val="18"/>
                <w:szCs w:val="18"/>
              </w:rPr>
              <w:t xml:space="preserve">Data resides on customer-controlled hardware — physical security is the customer's.</w:t>
            </w:r>
          </w:p>
        </w:tc>
        <w:tc>
          <w:tcPr>
            <w:tcW w:type="dxa" w:w="1500"/>
            <w:tcMar>
              <w:top w:type="dxa" w:w="60"/>
              <w:left w:type="dxa" w:w="90"/>
              <w:bottom w:type="dxa" w:w="60"/>
              <w:right w:type="dxa" w:w="90"/>
            </w:tcMar>
          </w:tcPr>
          <w:p>
            <w:pPr>
              <w:spacing w:after="0"/>
              <w:jc w:val="center"/>
            </w:pPr>
            <w:r>
              <w:rPr>
                <w:sz w:val="18"/>
                <w:szCs w:val="18"/>
              </w:rPr>
              <w:t xml:space="preserve">C</w:t>
            </w:r>
          </w:p>
        </w:tc>
      </w:tr>
      <w:tr>
        <w:trPr>
          <w:tblHeader w:val="false"/>
        </w:trPr>
        <w:tc>
          <w:tcPr>
            <w:tcW w:type="dxa" w:w="2500"/>
            <w:tcMar>
              <w:top w:type="dxa" w:w="60"/>
              <w:left w:type="dxa" w:w="90"/>
              <w:bottom w:type="dxa" w:w="60"/>
              <w:right w:type="dxa" w:w="90"/>
            </w:tcMar>
          </w:tcPr>
          <w:p>
            <w:pPr>
              <w:spacing w:after="0"/>
            </w:pPr>
            <w:r>
              <w:rPr>
                <w:b/>
                <w:bCs/>
                <w:sz w:val="18"/>
                <w:szCs w:val="18"/>
              </w:rPr>
              <w:t xml:space="preserve">Technological (A.8)</w:t>
            </w:r>
          </w:p>
        </w:tc>
        <w:tc>
          <w:tcPr>
            <w:tcW w:type="dxa" w:w="6080"/>
            <w:tcMar>
              <w:top w:type="dxa" w:w="60"/>
              <w:left w:type="dxa" w:w="90"/>
              <w:bottom w:type="dxa" w:w="60"/>
              <w:right w:type="dxa" w:w="90"/>
            </w:tcMar>
          </w:tcPr>
          <w:p>
            <w:pPr>
              <w:spacing w:after="0"/>
            </w:pPr>
            <w:r>
              <w:rPr>
                <w:sz w:val="18"/>
                <w:szCs w:val="18"/>
              </w:rPr>
              <w:t xml:space="preserve">Authentication &amp; MFA, RBAC/least privilege, cryptography at rest and in transit, logging &amp; monitoring evidence, secure development, backup, change management via signed updates, and secrets separated from data.</w:t>
            </w:r>
          </w:p>
        </w:tc>
        <w:tc>
          <w:tcPr>
            <w:tcW w:type="dxa" w:w="1500"/>
            <w:tcMar>
              <w:top w:type="dxa" w:w="60"/>
              <w:left w:type="dxa" w:w="90"/>
              <w:bottom w:type="dxa" w:w="60"/>
              <w:right w:type="dxa" w:w="90"/>
            </w:tcMar>
          </w:tcPr>
          <w:p>
            <w:pPr>
              <w:spacing w:after="0"/>
              <w:jc w:val="center"/>
            </w:pPr>
            <w:r>
              <w:rPr>
                <w:sz w:val="18"/>
                <w:szCs w:val="18"/>
              </w:rPr>
              <w:t xml:space="preserve">V</w:t>
            </w:r>
          </w:p>
        </w:tc>
      </w:tr>
    </w:tbl>
    <w:p>
      <w:pPr>
        <w:pStyle w:val="Heading2"/>
        <w:spacing w:after="90" w:before="180"/>
      </w:pPr>
      <w:r>
        <w:rPr>
          <w:b/>
          <w:bCs/>
          <w:color w:val="0E1B2C"/>
          <w:sz w:val="24"/>
          <w:szCs w:val="24"/>
        </w:rPr>
        <w:t xml:space="preserve">5.3  SOC 2 Trust Services Criteria</w:t>
      </w:r>
    </w:p>
    <w:p>
      <w:pPr>
        <w:spacing w:after="120" w:before="0"/>
      </w:pPr>
      <w:r>
        <w:rPr>
          <w:color w:val="5B6472"/>
          <w:sz w:val="18"/>
          <w:szCs w:val="18"/>
        </w:rPr>
        <w:t xml:space="preserve">SOC 2 evaluates a service against five criteria. The summary below states how the product supports each; a SOC 2 report is an independent auditor's opinion, addressed in Section 7.</w:t>
      </w:r>
    </w:p>
    <w:tbl>
      <w:tblPr>
        <w:tblW w:type="dxa" w:w="10080"/>
        <w:tblBorders>
          <w:top w:val="single" w:color="C9D2DB" w:sz="2"/>
          <w:left w:val="single" w:color="C9D2DB" w:sz="2"/>
          <w:bottom w:val="single" w:color="C9D2DB" w:sz="2"/>
          <w:right w:val="single" w:color="C9D2DB" w:sz="2"/>
          <w:insideH w:val="single" w:color="C9D2DB" w:sz="2"/>
          <w:insideV w:val="single" w:color="C9D2DB" w:sz="2"/>
        </w:tblBorders>
      </w:tblPr>
      <w:tblGrid>
        <w:gridCol w:w="2600"/>
        <w:gridCol w:w="7480"/>
      </w:tblGrid>
      <w:tr>
        <w:trPr>
          <w:tblHeader/>
        </w:trPr>
        <w:tc>
          <w:tcPr>
            <w:tcW w:type="dxa" w:w="2600"/>
            <w:shd w:fill="E8EDF2" w:color="auto" w:val="clear"/>
            <w:tcMar>
              <w:top w:type="dxa" w:w="60"/>
              <w:left w:type="dxa" w:w="90"/>
              <w:bottom w:type="dxa" w:w="60"/>
              <w:right w:type="dxa" w:w="90"/>
            </w:tcMar>
          </w:tcPr>
          <w:p>
            <w:pPr>
              <w:spacing w:after="0"/>
            </w:pPr>
            <w:r>
              <w:rPr>
                <w:b/>
                <w:bCs/>
                <w:sz w:val="18"/>
                <w:szCs w:val="18"/>
              </w:rPr>
              <w:t xml:space="preserve">Criterion</w:t>
            </w:r>
          </w:p>
        </w:tc>
        <w:tc>
          <w:tcPr>
            <w:tcW w:type="dxa" w:w="7480"/>
            <w:shd w:fill="E8EDF2" w:color="auto" w:val="clear"/>
            <w:tcMar>
              <w:top w:type="dxa" w:w="60"/>
              <w:left w:type="dxa" w:w="90"/>
              <w:bottom w:type="dxa" w:w="60"/>
              <w:right w:type="dxa" w:w="90"/>
            </w:tcMar>
          </w:tcPr>
          <w:p>
            <w:pPr>
              <w:spacing w:after="0"/>
            </w:pPr>
            <w:r>
              <w:rPr>
                <w:b/>
                <w:bCs/>
                <w:sz w:val="18"/>
                <w:szCs w:val="18"/>
              </w:rPr>
              <w:t xml:space="preserve">How Varda Forms supports it</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Security (Common Criteria)</w:t>
            </w:r>
          </w:p>
        </w:tc>
        <w:tc>
          <w:tcPr>
            <w:tcW w:type="dxa" w:w="7480"/>
            <w:tcMar>
              <w:top w:type="dxa" w:w="60"/>
              <w:left w:type="dxa" w:w="90"/>
              <w:bottom w:type="dxa" w:w="60"/>
              <w:right w:type="dxa" w:w="90"/>
            </w:tcMar>
          </w:tcPr>
          <w:p>
            <w:pPr>
              <w:spacing w:after="0"/>
            </w:pPr>
            <w:r>
              <w:rPr>
                <w:sz w:val="18"/>
                <w:szCs w:val="18"/>
              </w:rPr>
              <w:t xml:space="preserve">RBAC and least privilege enforced server-side; MFA; encryption in transit and at rest; audit logging; signed, approved, reversible updates; hardened defaults; self-hosted isolation.</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Availability</w:t>
            </w:r>
          </w:p>
        </w:tc>
        <w:tc>
          <w:tcPr>
            <w:tcW w:type="dxa" w:w="7480"/>
            <w:tcMar>
              <w:top w:type="dxa" w:w="60"/>
              <w:left w:type="dxa" w:w="90"/>
              <w:bottom w:type="dxa" w:w="60"/>
              <w:right w:type="dxa" w:w="90"/>
            </w:tcMar>
          </w:tcPr>
          <w:p>
            <w:pPr>
              <w:spacing w:after="0"/>
            </w:pPr>
            <w:r>
              <w:rPr>
                <w:sz w:val="18"/>
                <w:szCs w:val="18"/>
              </w:rPr>
              <w:t xml:space="preserve">Health-checked containers with automatic rollback on failed updates; built-in backup/restore; the customer controls uptime, redundancy, and DR in their environment.</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Processing Integrity</w:t>
            </w:r>
          </w:p>
        </w:tc>
        <w:tc>
          <w:tcPr>
            <w:tcW w:type="dxa" w:w="7480"/>
            <w:tcMar>
              <w:top w:type="dxa" w:w="60"/>
              <w:left w:type="dxa" w:w="90"/>
              <w:bottom w:type="dxa" w:w="60"/>
              <w:right w:type="dxa" w:w="90"/>
            </w:tcMar>
          </w:tcPr>
          <w:p>
            <w:pPr>
              <w:spacing w:after="0"/>
            </w:pPr>
            <w:r>
              <w:rPr>
                <w:sz w:val="18"/>
                <w:szCs w:val="18"/>
              </w:rPr>
              <w:t xml:space="preserve">Server-side validation; double-entry accounting with a balanced trial balance; idempotency safeguards; immutable audit trail of changes.</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Confidentiality</w:t>
            </w:r>
          </w:p>
        </w:tc>
        <w:tc>
          <w:tcPr>
            <w:tcW w:type="dxa" w:w="7480"/>
            <w:tcMar>
              <w:top w:type="dxa" w:w="60"/>
              <w:left w:type="dxa" w:w="90"/>
              <w:bottom w:type="dxa" w:w="60"/>
              <w:right w:type="dxa" w:w="90"/>
            </w:tcMar>
          </w:tcPr>
          <w:p>
            <w:pPr>
              <w:spacing w:after="0"/>
            </w:pPr>
            <w:r>
              <w:rPr>
                <w:sz w:val="18"/>
                <w:szCs w:val="18"/>
              </w:rPr>
              <w:t xml:space="preserve">Encryption at rest (field or whole-DB), role-scoped data access, and — most significantly — no vendor access to customer data at all.</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Privacy</w:t>
            </w:r>
          </w:p>
        </w:tc>
        <w:tc>
          <w:tcPr>
            <w:tcW w:type="dxa" w:w="7480"/>
            <w:tcMar>
              <w:top w:type="dxa" w:w="60"/>
              <w:left w:type="dxa" w:w="90"/>
              <w:bottom w:type="dxa" w:w="60"/>
              <w:right w:type="dxa" w:w="90"/>
            </w:tcMar>
          </w:tcPr>
          <w:p>
            <w:pPr>
              <w:spacing w:after="0"/>
            </w:pPr>
            <w:r>
              <w:rPr>
                <w:sz w:val="18"/>
                <w:szCs w:val="18"/>
              </w:rPr>
              <w:t xml:space="preserve">Data stays in the customer's jurisdiction; the customer is the data controller and sets retention; supports PIPEDA/provincial-privacy-aligned deployments.</w:t>
            </w:r>
          </w:p>
        </w:tc>
      </w:tr>
    </w:tbl>
    <w:p>
      <w:pPr>
        <w:pStyle w:val="Heading1"/>
        <w:spacing w:after="120" w:before="260"/>
      </w:pPr>
      <w:r>
        <w:rPr>
          <w:b/>
          <w:bCs/>
          <w:color w:val="0E1B2C"/>
          <w:sz w:val="30"/>
          <w:szCs w:val="30"/>
        </w:rPr>
        <w:t xml:space="preserve">6. Recommended customer actions</w:t>
      </w:r>
    </w:p>
    <w:p>
      <w:pPr>
        <w:spacing w:after="120" w:before="0"/>
      </w:pPr>
      <w:r>
        <w:rPr>
          <w:sz w:val="20"/>
          <w:szCs w:val="20"/>
        </w:rPr>
        <w:t xml:space="preserve">To realize the shared controls above, we recommend every deployment:</w:t>
      </w:r>
    </w:p>
    <w:p>
      <w:pPr>
        <w:pStyle w:val="ListParagraph"/>
        <w:numPr>
          <w:ilvl w:val="0"/>
          <w:numId w:val="1"/>
        </w:numPr>
        <w:spacing w:after="60"/>
      </w:pPr>
      <w:r>
        <w:rPr>
          <w:sz w:val="20"/>
          <w:szCs w:val="20"/>
        </w:rPr>
        <w:t xml:space="preserve">Enforce 2FA for administrators (or everyone) via the organization policy.</w:t>
      </w:r>
    </w:p>
    <w:p>
      <w:pPr>
        <w:pStyle w:val="ListParagraph"/>
        <w:numPr>
          <w:ilvl w:val="0"/>
          <w:numId w:val="1"/>
        </w:numPr>
        <w:spacing w:after="60"/>
      </w:pPr>
      <w:r>
        <w:rPr>
          <w:sz w:val="20"/>
          <w:szCs w:val="20"/>
        </w:rPr>
        <w:t xml:space="preserve">Restrict SSH/administrative access to known admin IPs; keep the host OS patched.</w:t>
      </w:r>
    </w:p>
    <w:p>
      <w:pPr>
        <w:pStyle w:val="ListParagraph"/>
        <w:numPr>
          <w:ilvl w:val="0"/>
          <w:numId w:val="1"/>
        </w:numPr>
        <w:spacing w:after="60"/>
      </w:pPr>
      <w:r>
        <w:rPr>
          <w:sz w:val="20"/>
          <w:szCs w:val="20"/>
        </w:rPr>
        <w:t xml:space="preserve">Schedule the built-in backup nightly and store copies off the machine; test a restore.</w:t>
      </w:r>
    </w:p>
    <w:p>
      <w:pPr>
        <w:pStyle w:val="ListParagraph"/>
        <w:numPr>
          <w:ilvl w:val="0"/>
          <w:numId w:val="1"/>
        </w:numPr>
        <w:spacing w:after="60"/>
      </w:pPr>
      <w:r>
        <w:rPr>
          <w:sz w:val="20"/>
          <w:szCs w:val="20"/>
        </w:rPr>
        <w:t xml:space="preserve">Keep encryption keys backed up and separate from the database (losing them means losing the data).</w:t>
      </w:r>
    </w:p>
    <w:p>
      <w:pPr>
        <w:pStyle w:val="ListParagraph"/>
        <w:numPr>
          <w:ilvl w:val="0"/>
          <w:numId w:val="1"/>
        </w:numPr>
        <w:spacing w:after="60"/>
      </w:pPr>
      <w:r>
        <w:rPr>
          <w:sz w:val="20"/>
          <w:szCs w:val="20"/>
        </w:rPr>
        <w:t xml:space="preserve">Apply signed application updates promptly after they are published.</w:t>
      </w:r>
    </w:p>
    <w:p>
      <w:pPr>
        <w:pStyle w:val="ListParagraph"/>
        <w:numPr>
          <w:ilvl w:val="0"/>
          <w:numId w:val="1"/>
        </w:numPr>
        <w:spacing w:after="60"/>
      </w:pPr>
      <w:r>
        <w:rPr>
          <w:sz w:val="20"/>
          <w:szCs w:val="20"/>
        </w:rPr>
        <w:t xml:space="preserve">Use the audit-grade compliance packs for periodic internal review.</w:t>
      </w:r>
    </w:p>
    <w:p>
      <w:pPr>
        <w:pStyle w:val="Heading1"/>
        <w:spacing w:after="120" w:before="260"/>
      </w:pPr>
      <w:r>
        <w:rPr>
          <w:b/>
          <w:bCs/>
          <w:color w:val="0E1B2C"/>
          <w:sz w:val="30"/>
          <w:szCs w:val="30"/>
        </w:rPr>
        <w:t xml:space="preserve">7. Certification status &amp; roadmap</w:t>
      </w:r>
    </w:p>
    <w:p>
      <w:pPr>
        <w:spacing w:after="120" w:before="0"/>
      </w:pPr>
      <w:r>
        <w:rPr>
          <w:sz w:val="20"/>
          <w:szCs w:val="20"/>
        </w:rPr>
        <w:t xml:space="preserve">In the interest of candor:</w:t>
      </w:r>
    </w:p>
    <w:p>
      <w:pPr>
        <w:pStyle w:val="ListParagraph"/>
        <w:numPr>
          <w:ilvl w:val="0"/>
          <w:numId w:val="1"/>
        </w:numPr>
        <w:spacing w:after="60"/>
      </w:pPr>
      <w:r>
        <w:rPr>
          <w:sz w:val="20"/>
          <w:szCs w:val="20"/>
        </w:rPr>
        <w:t xml:space="preserve">Varda Forms does not currently hold a SOC 2 Type II report or ISO/IEC 27001 certification. The controls above are implemented in the product, but they have not been independently audited under those schemes.</w:t>
      </w:r>
    </w:p>
    <w:p>
      <w:pPr>
        <w:pStyle w:val="ListParagraph"/>
        <w:numPr>
          <w:ilvl w:val="0"/>
          <w:numId w:val="1"/>
        </w:numPr>
        <w:spacing w:after="60"/>
      </w:pPr>
      <w:r>
        <w:rPr>
          <w:sz w:val="20"/>
          <w:szCs w:val="20"/>
        </w:rPr>
        <w:t xml:space="preserve">The product supports the large majority of the CyberSecure Canada baseline on the vendor side; the remaining items are customer-operated. CyberSecure Canada is the most accessible and affordable recognized mark for a Canadian small/medium vendor and is the planned next step.</w:t>
      </w:r>
    </w:p>
    <w:p>
      <w:pPr>
        <w:pStyle w:val="ListParagraph"/>
        <w:numPr>
          <w:ilvl w:val="0"/>
          <w:numId w:val="1"/>
        </w:numPr>
        <w:spacing w:after="60"/>
      </w:pPr>
      <w:r>
        <w:rPr>
          <w:sz w:val="20"/>
          <w:szCs w:val="20"/>
        </w:rPr>
        <w:t xml:space="preserve">Planned: an independent penetration test and a published cadence; a formal responsible-disclosure program; and pursuit of CyberSecure Canada certification.</w:t>
      </w:r>
    </w:p>
    <w:p>
      <w:pPr>
        <w:pStyle w:val="Heading1"/>
        <w:spacing w:after="120" w:before="260"/>
      </w:pPr>
      <w:r>
        <w:rPr>
          <w:b/>
          <w:bCs/>
          <w:color w:val="0E1B2C"/>
          <w:sz w:val="30"/>
          <w:szCs w:val="30"/>
        </w:rPr>
        <w:t xml:space="preserve">8. Responsible disclosure</w:t>
      </w:r>
    </w:p>
    <w:p>
      <w:pPr>
        <w:spacing w:after="120" w:before="0"/>
      </w:pPr>
      <w:r>
        <w:rPr>
          <w:sz w:val="20"/>
          <w:szCs w:val="20"/>
        </w:rPr>
        <w:t xml:space="preserve">Security researchers and customers can report suspected vulnerabilities to info@vardaforms.com. We aim to acknowledge reports promptly and to work in good faith toward a fix. A machine-readable policy is published at https://vardaforms.com/.well-known/security.txt.</w:t>
      </w:r>
    </w:p>
    <w:p>
      <w:pPr>
        <w:pStyle w:val="Heading1"/>
        <w:spacing w:after="120" w:before="260"/>
      </w:pPr>
      <w:r>
        <w:rPr>
          <w:b/>
          <w:bCs/>
          <w:color w:val="0E1B2C"/>
          <w:sz w:val="30"/>
          <w:szCs w:val="30"/>
        </w:rPr>
        <w:t xml:space="preserve">Document control</w:t>
      </w:r>
    </w:p>
    <w:tbl>
      <w:tblPr>
        <w:tblW w:type="dxa" w:w="10080"/>
        <w:tblBorders>
          <w:top w:val="single" w:color="C9D2DB" w:sz="2"/>
          <w:left w:val="single" w:color="C9D2DB" w:sz="2"/>
          <w:bottom w:val="single" w:color="C9D2DB" w:sz="2"/>
          <w:right w:val="single" w:color="C9D2DB" w:sz="2"/>
          <w:insideH w:val="single" w:color="C9D2DB" w:sz="2"/>
          <w:insideV w:val="single" w:color="C9D2DB" w:sz="2"/>
        </w:tblBorders>
      </w:tblPr>
      <w:tblGrid>
        <w:gridCol w:w="2600"/>
        <w:gridCol w:w="7480"/>
      </w:tblGrid>
      <w:tr>
        <w:trPr>
          <w:tblHeader/>
        </w:trPr>
        <w:tc>
          <w:tcPr>
            <w:tcW w:type="dxa" w:w="2600"/>
            <w:shd w:fill="E8EDF2" w:color="auto" w:val="clear"/>
            <w:tcMar>
              <w:top w:type="dxa" w:w="60"/>
              <w:left w:type="dxa" w:w="90"/>
              <w:bottom w:type="dxa" w:w="60"/>
              <w:right w:type="dxa" w:w="90"/>
            </w:tcMar>
          </w:tcPr>
          <w:p>
            <w:pPr>
              <w:spacing w:after="0"/>
            </w:pPr>
            <w:r>
              <w:rPr>
                <w:b/>
                <w:bCs/>
                <w:sz w:val="18"/>
                <w:szCs w:val="18"/>
              </w:rPr>
              <w:t xml:space="preserve">Field</w:t>
            </w:r>
          </w:p>
        </w:tc>
        <w:tc>
          <w:tcPr>
            <w:tcW w:type="dxa" w:w="7480"/>
            <w:shd w:fill="E8EDF2" w:color="auto" w:val="clear"/>
            <w:tcMar>
              <w:top w:type="dxa" w:w="60"/>
              <w:left w:type="dxa" w:w="90"/>
              <w:bottom w:type="dxa" w:w="60"/>
              <w:right w:type="dxa" w:w="90"/>
            </w:tcMar>
          </w:tcPr>
          <w:p>
            <w:pPr>
              <w:spacing w:after="0"/>
            </w:pPr>
            <w:r>
              <w:rPr>
                <w:b/>
                <w:bCs/>
                <w:sz w:val="18"/>
                <w:szCs w:val="18"/>
              </w:rPr>
              <w:t xml:space="preserve">Value</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Owner</w:t>
            </w:r>
          </w:p>
        </w:tc>
        <w:tc>
          <w:tcPr>
            <w:tcW w:type="dxa" w:w="7480"/>
            <w:tcMar>
              <w:top w:type="dxa" w:w="60"/>
              <w:left w:type="dxa" w:w="90"/>
              <w:bottom w:type="dxa" w:w="60"/>
              <w:right w:type="dxa" w:w="90"/>
            </w:tcMar>
          </w:tcPr>
          <w:p>
            <w:pPr>
              <w:spacing w:after="0"/>
            </w:pPr>
            <w:r>
              <w:rPr>
                <w:sz w:val="18"/>
                <w:szCs w:val="18"/>
              </w:rPr>
              <w:t xml:space="preserve">Varda Forms Inc.</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Version</w:t>
            </w:r>
          </w:p>
        </w:tc>
        <w:tc>
          <w:tcPr>
            <w:tcW w:type="dxa" w:w="7480"/>
            <w:tcMar>
              <w:top w:type="dxa" w:w="60"/>
              <w:left w:type="dxa" w:w="90"/>
              <w:bottom w:type="dxa" w:w="60"/>
              <w:right w:type="dxa" w:w="90"/>
            </w:tcMar>
          </w:tcPr>
          <w:p>
            <w:pPr>
              <w:spacing w:after="0"/>
            </w:pPr>
            <w:r>
              <w:rPr>
                <w:sz w:val="18"/>
                <w:szCs w:val="18"/>
              </w:rPr>
              <w:t xml:space="preserve">1.0</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Date</w:t>
            </w:r>
          </w:p>
        </w:tc>
        <w:tc>
          <w:tcPr>
            <w:tcW w:type="dxa" w:w="7480"/>
            <w:tcMar>
              <w:top w:type="dxa" w:w="60"/>
              <w:left w:type="dxa" w:w="90"/>
              <w:bottom w:type="dxa" w:w="60"/>
              <w:right w:type="dxa" w:w="90"/>
            </w:tcMar>
          </w:tcPr>
          <w:p>
            <w:pPr>
              <w:spacing w:after="0"/>
            </w:pPr>
            <w:r>
              <w:rPr>
                <w:sz w:val="18"/>
                <w:szCs w:val="18"/>
              </w:rPr>
              <w:t xml:space="preserve">August 2026</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Review cadence</w:t>
            </w:r>
          </w:p>
        </w:tc>
        <w:tc>
          <w:tcPr>
            <w:tcW w:type="dxa" w:w="7480"/>
            <w:tcMar>
              <w:top w:type="dxa" w:w="60"/>
              <w:left w:type="dxa" w:w="90"/>
              <w:bottom w:type="dxa" w:w="60"/>
              <w:right w:type="dxa" w:w="90"/>
            </w:tcMar>
          </w:tcPr>
          <w:p>
            <w:pPr>
              <w:spacing w:after="0"/>
            </w:pPr>
            <w:r>
              <w:rPr>
                <w:sz w:val="18"/>
                <w:szCs w:val="18"/>
              </w:rPr>
              <w:t xml:space="preserve">At least annually, or on material change to the product or a referenced framework.</w:t>
            </w:r>
          </w:p>
        </w:tc>
      </w:tr>
      <w:tr>
        <w:trPr>
          <w:tblHeader w:val="false"/>
        </w:trPr>
        <w:tc>
          <w:tcPr>
            <w:tcW w:type="dxa" w:w="2600"/>
            <w:tcMar>
              <w:top w:type="dxa" w:w="60"/>
              <w:left w:type="dxa" w:w="90"/>
              <w:bottom w:type="dxa" w:w="60"/>
              <w:right w:type="dxa" w:w="90"/>
            </w:tcMar>
          </w:tcPr>
          <w:p>
            <w:pPr>
              <w:spacing w:after="0"/>
            </w:pPr>
            <w:r>
              <w:rPr>
                <w:b/>
                <w:bCs/>
                <w:sz w:val="18"/>
                <w:szCs w:val="18"/>
              </w:rPr>
              <w:t xml:space="preserve">Contact</w:t>
            </w:r>
          </w:p>
        </w:tc>
        <w:tc>
          <w:tcPr>
            <w:tcW w:type="dxa" w:w="7480"/>
            <w:tcMar>
              <w:top w:type="dxa" w:w="60"/>
              <w:left w:type="dxa" w:w="90"/>
              <w:bottom w:type="dxa" w:w="60"/>
              <w:right w:type="dxa" w:w="90"/>
            </w:tcMar>
          </w:tcPr>
          <w:p>
            <w:pPr>
              <w:spacing w:after="0"/>
            </w:pPr>
            <w:r>
              <w:rPr>
                <w:sz w:val="18"/>
                <w:szCs w:val="18"/>
              </w:rPr>
              <w:t xml:space="preserve">info@vardaforms.com</w:t>
            </w:r>
          </w:p>
        </w:tc>
      </w:tr>
    </w:tbl>
    <w:p>
      <w:pPr>
        <w:spacing w:after="120" w:before="160"/>
      </w:pPr>
      <w:r>
        <w:rPr>
          <w:i/>
          <w:iCs/>
          <w:color w:val="5B6472"/>
          <w:sz w:val="16"/>
          <w:szCs w:val="16"/>
        </w:rPr>
        <w:t xml:space="preserve">© 2026 Varda Forms Inc. This self-assessment is provided for evaluation and does not constitute a warranty or certification.</w:t>
      </w:r>
    </w:p>
    <w:sectPr>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A33"/>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Varda Forms — Security Controls &amp; Compliance Mapping</dc:title>
  <dc:creator>Varda Forms Inc.</dc:creator>
  <cp:lastModifiedBy>Un-named</cp:lastModifiedBy>
  <cp:revision>1</cp:revision>
  <dcterms:created xsi:type="dcterms:W3CDTF">2026-08-14T14:37:23.822Z</dcterms:created>
  <dcterms:modified xsi:type="dcterms:W3CDTF">2026-08-14T14:37:23.822Z</dcterms:modified>
</cp:coreProperties>
</file>

<file path=docProps/custom.xml><?xml version="1.0" encoding="utf-8"?>
<Properties xmlns="http://schemas.openxmlformats.org/officeDocument/2006/custom-properties" xmlns:vt="http://schemas.openxmlformats.org/officeDocument/2006/docPropsVTypes"/>
</file>